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60"/>
          <w:szCs w:val="60"/>
        </w:rPr>
      </w:pPr>
      <w:r w:rsidDel="00000000" w:rsidR="00000000" w:rsidRPr="00000000">
        <w:rPr>
          <w:sz w:val="60"/>
          <w:szCs w:val="60"/>
          <w:rtl w:val="0"/>
        </w:rPr>
        <w:t xml:space="preserve">Программа курса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1 день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13.00 – 19.00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Знакомство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Концептуальные основы финансовой отчетности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Представление финансовой отчетности (IAS 1)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Отчет о движении денежных средств (IAS 7)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Операционные сегменты (IFRS 8)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Оценка справедливой стоимости (IFRS 13)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2 день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13.00 – 19.00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Запасы (IAS 2)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Основные средства (IAS 16)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Инвестиционная недвижимость (IAS 40)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Нематериальные активы (IAS 38)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Обесценение активов (IAS 36)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Внеоборотные активы, предназначенные для продажи, и прекращенная деятельность (IFRS 5)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Аренда (IFRS 16)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3 день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13.00 – 19.00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Учетная политика, изменения в бухгалтерских оценках и ошибки (IAS 8)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Выручка по договорам с покупателями (IFRS 15)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Затраты по заимствованиям (IAS 23)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Влияние изменений валютных курсов (IAS 21)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Оценочные обязательства, условные обязательства и условные активы (IAS 37)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4 день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13.00 – 19.00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Налоги на прибыль (IAS 12)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Финансовые инструменты: понятие и классификация, признание и оценка, раскрытие информации в отчетности (IAS 32, IAS 39, IFRS 7, IFRS 9)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Вознаграждения работникам (IAS 19)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События после отчетного периода (IAS 10)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5 день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13.00 – 19.00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Консолидированная финансовая отчетность (IFRS 10)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Объединения бизнесов (IFRS 3)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Инвестиции в ассоциированные организации и совместные предприятия (IAS 28)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Совместное предпринимательство (IFRS 11)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Отдельная финансовая отчетность (IAS 27)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